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bookmarkStart w:id="0" w:name="_GoBack"/>
      <w:bookmarkEnd w:id="0"/>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61AB62B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r w:rsidR="0012117C">
        <w:rPr>
          <w:rFonts w:ascii="Verdana" w:hAnsi="Verdana"/>
          <w:sz w:val="16"/>
          <w:szCs w:val="16"/>
          <w:lang w:val="sk-SK" w:eastAsia="cs-CZ"/>
        </w:rPr>
        <w:t>2</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0D545A">
        <w:rPr>
          <w:rFonts w:ascii="Verdana" w:hAnsi="Verdana"/>
          <w:sz w:val="16"/>
          <w:szCs w:val="16"/>
          <w:lang w:val="sk-SK" w:eastAsia="cs-CZ"/>
        </w:rPr>
        <w:t>5</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58D4C23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r w:rsidR="0012117C">
        <w:rPr>
          <w:rFonts w:ascii="Verdana" w:hAnsi="Verdana"/>
          <w:sz w:val="16"/>
          <w:szCs w:val="16"/>
          <w:lang w:val="sk-SK" w:eastAsia="cs-CZ"/>
        </w:rPr>
        <w:t>2</w:t>
      </w:r>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w:t>
      </w:r>
      <w:r w:rsidR="000D545A">
        <w:rPr>
          <w:rFonts w:ascii="Verdana" w:hAnsi="Verdana"/>
          <w:sz w:val="16"/>
          <w:szCs w:val="16"/>
          <w:lang w:val="sk-SK" w:eastAsia="cs-CZ"/>
        </w:rPr>
        <w:t>5</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730466B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r w:rsidR="0012117C">
        <w:rPr>
          <w:rFonts w:ascii="Verdana" w:hAnsi="Verdana"/>
          <w:sz w:val="16"/>
          <w:szCs w:val="16"/>
          <w:lang w:val="sk-SK" w:eastAsia="cs-CZ"/>
        </w:rPr>
        <w:t>2</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0D545A">
        <w:rPr>
          <w:rFonts w:ascii="Verdana" w:hAnsi="Verdana"/>
          <w:sz w:val="16"/>
          <w:szCs w:val="16"/>
          <w:lang w:val="sk-SK" w:eastAsia="cs-CZ"/>
        </w:rPr>
        <w:t>5</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5E5C50F1"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r w:rsidR="000D545A">
        <w:rPr>
          <w:rFonts w:ascii="Verdana" w:hAnsi="Verdana"/>
          <w:sz w:val="16"/>
          <w:szCs w:val="16"/>
          <w:lang w:val="sk-SK" w:eastAsia="cs-CZ"/>
        </w:rPr>
        <w:t>1</w:t>
      </w:r>
      <w:r w:rsidRPr="00874735">
        <w:rPr>
          <w:rFonts w:ascii="Verdana" w:hAnsi="Verdana"/>
          <w:sz w:val="16"/>
          <w:szCs w:val="16"/>
          <w:lang w:val="sk-SK" w:eastAsia="cs-CZ"/>
        </w:rPr>
        <w:t xml:space="preserve">; platnosť od: </w:t>
      </w:r>
      <w:r w:rsidR="000D545A">
        <w:rPr>
          <w:rFonts w:ascii="Verdana" w:hAnsi="Verdana"/>
          <w:sz w:val="16"/>
          <w:szCs w:val="16"/>
          <w:lang w:val="sk-SK" w:eastAsia="cs-CZ"/>
        </w:rPr>
        <w:t>1</w:t>
      </w:r>
      <w:r w:rsidR="0012117C">
        <w:rPr>
          <w:rFonts w:ascii="Verdana" w:hAnsi="Verdana"/>
          <w:sz w:val="16"/>
          <w:szCs w:val="16"/>
          <w:lang w:val="sk-SK" w:eastAsia="cs-CZ"/>
        </w:rPr>
        <w:t>2</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0D545A">
        <w:rPr>
          <w:rFonts w:ascii="Verdana" w:hAnsi="Verdana"/>
          <w:sz w:val="16"/>
          <w:szCs w:val="16"/>
          <w:lang w:val="sk-SK" w:eastAsia="cs-CZ"/>
        </w:rPr>
        <w:t>5</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0D545A">
        <w:rPr>
          <w:rFonts w:ascii="Verdana" w:hAnsi="Verdana"/>
          <w:sz w:val="16"/>
          <w:szCs w:val="16"/>
          <w:lang w:val="sk-SK" w:eastAsia="cs-CZ"/>
        </w:rPr>
        <w:t>1</w:t>
      </w:r>
      <w:r w:rsidR="0012117C">
        <w:rPr>
          <w:rFonts w:ascii="Verdana" w:hAnsi="Verdana"/>
          <w:sz w:val="16"/>
          <w:szCs w:val="16"/>
          <w:lang w:val="sk-SK" w:eastAsia="cs-CZ"/>
        </w:rPr>
        <w:t>2</w:t>
      </w:r>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0D545A">
        <w:rPr>
          <w:rFonts w:ascii="Verdana" w:hAnsi="Verdana"/>
          <w:sz w:val="16"/>
          <w:szCs w:val="16"/>
          <w:lang w:val="sk-SK" w:eastAsia="cs-CZ"/>
        </w:rPr>
        <w:t>5</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9E4BAA"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0CE9047A" w14:textId="77777777" w:rsidR="00FA7A4F" w:rsidRPr="00D37D01" w:rsidRDefault="009E4BAA"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625D85AC" w14:textId="77777777" w:rsidR="00FA7A4F" w:rsidRPr="00D37D01" w:rsidRDefault="009E4BAA"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F4769">
              <w:rPr>
                <w:webHidden/>
                <w:sz w:val="17"/>
                <w:szCs w:val="17"/>
              </w:rPr>
              <w:t>6</w:t>
            </w:r>
            <w:r w:rsidR="00FA7A4F" w:rsidRPr="00D37D01">
              <w:rPr>
                <w:webHidden/>
                <w:sz w:val="17"/>
                <w:szCs w:val="17"/>
              </w:rPr>
              <w:fldChar w:fldCharType="end"/>
            </w:r>
          </w:hyperlink>
        </w:p>
        <w:p w14:paraId="38DE1105" w14:textId="169A25D0" w:rsidR="00FA7A4F" w:rsidRPr="00D37D01" w:rsidRDefault="004F4769"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Pr>
                <w:webHidden/>
                <w:sz w:val="17"/>
                <w:szCs w:val="17"/>
              </w:rPr>
              <w:t>14</w:t>
            </w:r>
            <w:r w:rsidR="00FA7A4F" w:rsidRPr="00D37D01">
              <w:rPr>
                <w:webHidden/>
                <w:sz w:val="17"/>
                <w:szCs w:val="17"/>
              </w:rPr>
              <w:fldChar w:fldCharType="end"/>
            </w:r>
          </w:hyperlink>
        </w:p>
        <w:p w14:paraId="3A3FB81F" w14:textId="32A9647F" w:rsidR="00FA7A4F" w:rsidRPr="00D37D01" w:rsidRDefault="004F4769"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Pr>
                <w:webHidden/>
                <w:sz w:val="17"/>
                <w:szCs w:val="17"/>
              </w:rPr>
              <w:t>15</w:t>
            </w:r>
            <w:r w:rsidR="00FA7A4F" w:rsidRPr="00D37D01">
              <w:rPr>
                <w:webHidden/>
                <w:sz w:val="17"/>
                <w:szCs w:val="17"/>
              </w:rPr>
              <w:fldChar w:fldCharType="end"/>
            </w:r>
          </w:hyperlink>
        </w:p>
        <w:p w14:paraId="398745CB" w14:textId="77777777" w:rsidR="00FA7A4F" w:rsidRPr="00D37D01" w:rsidRDefault="009E4BAA"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9E4BAA"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9E4BAA">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9E4BAA"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0FB8AAF" w14:textId="77777777" w:rsidR="00FA7A4F" w:rsidRPr="00D37D01" w:rsidRDefault="009E4BAA"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D0450AF" w14:textId="77777777" w:rsidR="00FA7A4F" w:rsidRPr="00D37D01" w:rsidRDefault="009E4BAA"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2998462F" w14:textId="77777777" w:rsidR="00FA7A4F" w:rsidRPr="00D37D01" w:rsidRDefault="009E4BAA"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51C92F3F" w14:textId="27811E00" w:rsidR="00FA7A4F" w:rsidRPr="00D37D01" w:rsidRDefault="004F4769"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9E4BAA"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9E4BAA"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4F4769"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9E4BAA"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4F4769"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9E4BAA"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0DE4A935" w14:textId="2388589A" w:rsidR="00FA7A4F" w:rsidRPr="00D37D01" w:rsidRDefault="004F4769"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Pr>
                <w:webHidden/>
                <w:sz w:val="17"/>
                <w:szCs w:val="17"/>
              </w:rPr>
              <w:t>28</w:t>
            </w:r>
            <w:r w:rsidR="00FA7A4F" w:rsidRPr="00D37D01">
              <w:rPr>
                <w:webHidden/>
                <w:sz w:val="17"/>
                <w:szCs w:val="17"/>
              </w:rPr>
              <w:fldChar w:fldCharType="end"/>
            </w:r>
          </w:hyperlink>
        </w:p>
        <w:p w14:paraId="183C11D3" w14:textId="02876BF3" w:rsidR="00FA7A4F" w:rsidRPr="00D37D01" w:rsidRDefault="009E4BAA"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53848EA3" w14:textId="204507FF" w:rsidR="00FA7A4F" w:rsidRPr="00D37D01" w:rsidRDefault="009E4BAA"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1F60EBE4" w14:textId="40BBBFB9" w:rsidR="00FA7A4F" w:rsidRPr="00D37D01" w:rsidRDefault="004F4769"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Pr>
                <w:webHidden/>
                <w:sz w:val="17"/>
                <w:szCs w:val="17"/>
              </w:rPr>
              <w:t>29</w:t>
            </w:r>
            <w:r w:rsidR="00FA7A4F" w:rsidRPr="00D37D01">
              <w:rPr>
                <w:webHidden/>
                <w:sz w:val="17"/>
                <w:szCs w:val="17"/>
              </w:rPr>
              <w:fldChar w:fldCharType="end"/>
            </w:r>
          </w:hyperlink>
        </w:p>
        <w:p w14:paraId="64465A26" w14:textId="7DB6E363" w:rsidR="00FA7A4F" w:rsidRPr="00D37D01" w:rsidRDefault="004F4769"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29</w:t>
            </w:r>
            <w:r w:rsidR="00FA7A4F" w:rsidRPr="00D37D01">
              <w:rPr>
                <w:noProof/>
                <w:webHidden/>
                <w:sz w:val="17"/>
                <w:szCs w:val="17"/>
              </w:rPr>
              <w:fldChar w:fldCharType="end"/>
            </w:r>
          </w:hyperlink>
        </w:p>
        <w:p w14:paraId="79FD5937" w14:textId="6C3E3C3B" w:rsidR="00FA7A4F" w:rsidRPr="00D37D01" w:rsidRDefault="004F4769"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29</w:t>
            </w:r>
            <w:r w:rsidR="00FA7A4F" w:rsidRPr="00D37D01">
              <w:rPr>
                <w:noProof/>
                <w:webHidden/>
                <w:sz w:val="17"/>
                <w:szCs w:val="17"/>
              </w:rPr>
              <w:fldChar w:fldCharType="end"/>
            </w:r>
          </w:hyperlink>
        </w:p>
        <w:p w14:paraId="07548506" w14:textId="6BA77D0B" w:rsidR="00FA7A4F" w:rsidRPr="00D37D01" w:rsidRDefault="009E4BAA"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9E4BAA"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F4769">
              <w:rPr>
                <w:webHidden/>
                <w:sz w:val="17"/>
                <w:szCs w:val="17"/>
              </w:rPr>
              <w:t>30</w:t>
            </w:r>
            <w:r w:rsidR="00FA7A4F" w:rsidRPr="00D37D01">
              <w:rPr>
                <w:webHidden/>
                <w:sz w:val="17"/>
                <w:szCs w:val="17"/>
              </w:rPr>
              <w:fldChar w:fldCharType="end"/>
            </w:r>
          </w:hyperlink>
        </w:p>
        <w:p w14:paraId="5900622E" w14:textId="0D3C649F" w:rsidR="00FA7A4F" w:rsidRPr="00D37D01" w:rsidRDefault="009E4BAA"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9E4BAA"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4F4769"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30</w:t>
            </w:r>
            <w:r w:rsidR="00FA7A4F" w:rsidRPr="00D37D01">
              <w:rPr>
                <w:noProof/>
                <w:webHidden/>
                <w:sz w:val="17"/>
                <w:szCs w:val="17"/>
              </w:rPr>
              <w:fldChar w:fldCharType="end"/>
            </w:r>
          </w:hyperlink>
        </w:p>
        <w:p w14:paraId="557304F0" w14:textId="61A6474A" w:rsidR="00FA7A4F" w:rsidRPr="00D37D01" w:rsidRDefault="004F4769"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30</w:t>
            </w:r>
            <w:r w:rsidR="00FA7A4F" w:rsidRPr="00D37D01">
              <w:rPr>
                <w:noProof/>
                <w:webHidden/>
                <w:sz w:val="17"/>
                <w:szCs w:val="17"/>
              </w:rPr>
              <w:fldChar w:fldCharType="end"/>
            </w:r>
          </w:hyperlink>
        </w:p>
        <w:p w14:paraId="38914075" w14:textId="4309D160" w:rsidR="00FA7A4F" w:rsidRPr="00D37D01" w:rsidRDefault="004F4769"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31</w:t>
            </w:r>
            <w:r w:rsidR="00FA7A4F" w:rsidRPr="00D37D01">
              <w:rPr>
                <w:noProof/>
                <w:webHidden/>
                <w:sz w:val="17"/>
                <w:szCs w:val="17"/>
              </w:rPr>
              <w:fldChar w:fldCharType="end"/>
            </w:r>
          </w:hyperlink>
        </w:p>
        <w:p w14:paraId="3762971B" w14:textId="6AB23480" w:rsidR="00FA7A4F" w:rsidRPr="00D37D01" w:rsidRDefault="004F4769">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Pr>
                <w:b w:val="0"/>
                <w:noProof/>
                <w:webHidden/>
                <w:sz w:val="17"/>
                <w:szCs w:val="17"/>
              </w:rPr>
              <w:t>36</w:t>
            </w:r>
            <w:r w:rsidR="00FA7A4F" w:rsidRPr="00D37D01">
              <w:rPr>
                <w:b w:val="0"/>
                <w:noProof/>
                <w:webHidden/>
                <w:sz w:val="17"/>
                <w:szCs w:val="17"/>
              </w:rPr>
              <w:fldChar w:fldCharType="end"/>
            </w:r>
          </w:hyperlink>
        </w:p>
        <w:p w14:paraId="5C4BAF0A" w14:textId="51951087" w:rsidR="00FA7A4F" w:rsidRPr="00D37D01" w:rsidRDefault="004F4769"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Pr>
                <w:webHidden/>
                <w:sz w:val="17"/>
                <w:szCs w:val="17"/>
              </w:rPr>
              <w:t>36</w:t>
            </w:r>
            <w:r w:rsidR="00FA7A4F" w:rsidRPr="00D37D01">
              <w:rPr>
                <w:webHidden/>
                <w:sz w:val="17"/>
                <w:szCs w:val="17"/>
              </w:rPr>
              <w:fldChar w:fldCharType="end"/>
            </w:r>
          </w:hyperlink>
        </w:p>
        <w:p w14:paraId="5E86F05E" w14:textId="5EA7F8D0" w:rsidR="00FA7A4F" w:rsidRPr="00D37D01" w:rsidRDefault="004F4769"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37</w:t>
            </w:r>
            <w:r w:rsidR="00FA7A4F" w:rsidRPr="00D37D01">
              <w:rPr>
                <w:noProof/>
                <w:webHidden/>
                <w:sz w:val="17"/>
                <w:szCs w:val="17"/>
              </w:rPr>
              <w:fldChar w:fldCharType="end"/>
            </w:r>
          </w:hyperlink>
        </w:p>
        <w:p w14:paraId="79C028E7" w14:textId="6D01215F" w:rsidR="00FA7A4F" w:rsidRPr="00D37D01" w:rsidRDefault="004F4769"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Pr>
                <w:webHidden/>
                <w:sz w:val="17"/>
                <w:szCs w:val="17"/>
              </w:rPr>
              <w:t>38</w:t>
            </w:r>
            <w:r w:rsidR="00FA7A4F" w:rsidRPr="00D37D01">
              <w:rPr>
                <w:webHidden/>
                <w:sz w:val="17"/>
                <w:szCs w:val="17"/>
              </w:rPr>
              <w:fldChar w:fldCharType="end"/>
            </w:r>
          </w:hyperlink>
        </w:p>
        <w:p w14:paraId="5BEE0F31" w14:textId="5F6A233C" w:rsidR="00FA7A4F" w:rsidRPr="00D37D01" w:rsidRDefault="004F4769"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42</w:t>
            </w:r>
            <w:r w:rsidR="00FA7A4F" w:rsidRPr="00D37D01">
              <w:rPr>
                <w:noProof/>
                <w:webHidden/>
                <w:sz w:val="17"/>
                <w:szCs w:val="17"/>
              </w:rPr>
              <w:fldChar w:fldCharType="end"/>
            </w:r>
          </w:hyperlink>
        </w:p>
        <w:p w14:paraId="56C9AC95" w14:textId="05D69A07" w:rsidR="00FA7A4F" w:rsidRPr="00D37D01" w:rsidRDefault="004F4769"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Pr>
                <w:webHidden/>
                <w:sz w:val="17"/>
                <w:szCs w:val="17"/>
              </w:rPr>
              <w:t>66</w:t>
            </w:r>
            <w:r w:rsidR="00FA7A4F" w:rsidRPr="00D37D01">
              <w:rPr>
                <w:webHidden/>
                <w:sz w:val="17"/>
                <w:szCs w:val="17"/>
              </w:rPr>
              <w:fldChar w:fldCharType="end"/>
            </w:r>
          </w:hyperlink>
        </w:p>
        <w:p w14:paraId="11EEAB8B" w14:textId="14DFC13B" w:rsidR="00FA7A4F" w:rsidRPr="00D37D01" w:rsidRDefault="004F4769"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67</w:t>
            </w:r>
            <w:r w:rsidR="00FA7A4F" w:rsidRPr="00D37D01">
              <w:rPr>
                <w:noProof/>
                <w:webHidden/>
                <w:sz w:val="17"/>
                <w:szCs w:val="17"/>
              </w:rPr>
              <w:fldChar w:fldCharType="end"/>
            </w:r>
          </w:hyperlink>
        </w:p>
        <w:p w14:paraId="0C37BE0E" w14:textId="6704C13C" w:rsidR="00FA7A4F" w:rsidRPr="00D37D01" w:rsidRDefault="004F4769"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68</w:t>
            </w:r>
            <w:r w:rsidR="00FA7A4F" w:rsidRPr="00D37D01">
              <w:rPr>
                <w:noProof/>
                <w:webHidden/>
                <w:sz w:val="17"/>
                <w:szCs w:val="17"/>
              </w:rPr>
              <w:fldChar w:fldCharType="end"/>
            </w:r>
          </w:hyperlink>
        </w:p>
        <w:p w14:paraId="5182C84C" w14:textId="3C75FB9B" w:rsidR="00FA7A4F" w:rsidRPr="00D37D01" w:rsidRDefault="004F4769">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Pr>
                <w:b w:val="0"/>
                <w:noProof/>
                <w:webHidden/>
                <w:sz w:val="17"/>
                <w:szCs w:val="17"/>
              </w:rPr>
              <w:t>71</w:t>
            </w:r>
            <w:r w:rsidR="00FA7A4F" w:rsidRPr="00D37D01">
              <w:rPr>
                <w:b w:val="0"/>
                <w:noProof/>
                <w:webHidden/>
                <w:sz w:val="17"/>
                <w:szCs w:val="17"/>
              </w:rPr>
              <w:fldChar w:fldCharType="end"/>
            </w:r>
          </w:hyperlink>
        </w:p>
        <w:p w14:paraId="214AE1B4" w14:textId="154236DD" w:rsidR="00FA7A4F" w:rsidRPr="00D37D01" w:rsidRDefault="004F4769"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Pr>
                <w:webHidden/>
                <w:sz w:val="17"/>
                <w:szCs w:val="17"/>
              </w:rPr>
              <w:t>71</w:t>
            </w:r>
            <w:r w:rsidR="00FA7A4F" w:rsidRPr="00D37D01">
              <w:rPr>
                <w:webHidden/>
                <w:sz w:val="17"/>
                <w:szCs w:val="17"/>
              </w:rPr>
              <w:fldChar w:fldCharType="end"/>
            </w:r>
          </w:hyperlink>
        </w:p>
        <w:p w14:paraId="50C184EA" w14:textId="283F6FB0" w:rsidR="00FA7A4F" w:rsidRPr="00D37D01" w:rsidRDefault="004F4769"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Pr>
                <w:webHidden/>
                <w:sz w:val="17"/>
                <w:szCs w:val="17"/>
              </w:rPr>
              <w:t>71</w:t>
            </w:r>
            <w:r w:rsidR="00FA7A4F" w:rsidRPr="00D37D01">
              <w:rPr>
                <w:webHidden/>
                <w:sz w:val="17"/>
                <w:szCs w:val="17"/>
              </w:rPr>
              <w:fldChar w:fldCharType="end"/>
            </w:r>
          </w:hyperlink>
        </w:p>
        <w:p w14:paraId="2B14ECA3" w14:textId="24AC7DA5" w:rsidR="00FA7A4F" w:rsidRPr="00D37D01" w:rsidRDefault="004F4769"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Pr>
                <w:webHidden/>
                <w:sz w:val="17"/>
                <w:szCs w:val="17"/>
              </w:rPr>
              <w:t>72</w:t>
            </w:r>
            <w:r w:rsidR="00FA7A4F" w:rsidRPr="00D37D01">
              <w:rPr>
                <w:webHidden/>
                <w:sz w:val="17"/>
                <w:szCs w:val="17"/>
              </w:rPr>
              <w:fldChar w:fldCharType="end"/>
            </w:r>
          </w:hyperlink>
        </w:p>
        <w:p w14:paraId="5CC6E4B5" w14:textId="085CDA18" w:rsidR="00FA7A4F" w:rsidRPr="00D37D01" w:rsidRDefault="004F4769"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Pr>
                <w:webHidden/>
                <w:sz w:val="17"/>
                <w:szCs w:val="17"/>
              </w:rPr>
              <w:t>73</w:t>
            </w:r>
            <w:r w:rsidR="00FA7A4F" w:rsidRPr="00D37D01">
              <w:rPr>
                <w:webHidden/>
                <w:sz w:val="17"/>
                <w:szCs w:val="17"/>
              </w:rPr>
              <w:fldChar w:fldCharType="end"/>
            </w:r>
          </w:hyperlink>
        </w:p>
        <w:p w14:paraId="5540D622" w14:textId="6D277234" w:rsidR="00FA7A4F" w:rsidRPr="00D37D01" w:rsidRDefault="004F4769"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74</w:t>
            </w:r>
            <w:r w:rsidR="00FA7A4F" w:rsidRPr="00D37D01">
              <w:rPr>
                <w:noProof/>
                <w:webHidden/>
                <w:sz w:val="17"/>
                <w:szCs w:val="17"/>
              </w:rPr>
              <w:fldChar w:fldCharType="end"/>
            </w:r>
          </w:hyperlink>
        </w:p>
        <w:p w14:paraId="3363C326" w14:textId="1D552A88" w:rsidR="00FA7A4F" w:rsidRPr="00D37D01" w:rsidRDefault="004F4769"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74</w:t>
            </w:r>
            <w:r w:rsidR="00FA7A4F" w:rsidRPr="00D37D01">
              <w:rPr>
                <w:noProof/>
                <w:webHidden/>
                <w:sz w:val="17"/>
                <w:szCs w:val="17"/>
              </w:rPr>
              <w:fldChar w:fldCharType="end"/>
            </w:r>
          </w:hyperlink>
        </w:p>
        <w:p w14:paraId="154258C2" w14:textId="674D5DC6" w:rsidR="00FA7A4F" w:rsidRPr="00D37D01" w:rsidRDefault="004F4769"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Pr>
                <w:noProof/>
                <w:webHidden/>
                <w:sz w:val="17"/>
                <w:szCs w:val="17"/>
              </w:rPr>
              <w:t>75</w:t>
            </w:r>
            <w:r w:rsidR="00FA7A4F" w:rsidRPr="00D37D01">
              <w:rPr>
                <w:noProof/>
                <w:webHidden/>
                <w:sz w:val="17"/>
                <w:szCs w:val="17"/>
              </w:rPr>
              <w:fldChar w:fldCharType="end"/>
            </w:r>
          </w:hyperlink>
        </w:p>
        <w:p w14:paraId="2D53B6B0" w14:textId="1E1361E1" w:rsidR="00FA7A4F" w:rsidRPr="00D37D01" w:rsidRDefault="004F4769">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Pr>
                <w:b w:val="0"/>
                <w:noProof/>
                <w:webHidden/>
                <w:sz w:val="17"/>
                <w:szCs w:val="17"/>
              </w:rPr>
              <w:t>76</w:t>
            </w:r>
            <w:r w:rsidR="00FA7A4F" w:rsidRPr="00D37D01">
              <w:rPr>
                <w:b w:val="0"/>
                <w:noProof/>
                <w:webHidden/>
                <w:sz w:val="17"/>
                <w:szCs w:val="17"/>
              </w:rPr>
              <w:fldChar w:fldCharType="end"/>
            </w:r>
          </w:hyperlink>
        </w:p>
        <w:p w14:paraId="7F9437DB" w14:textId="7CE8A050" w:rsidR="00FA7A4F" w:rsidRPr="00D37D01" w:rsidRDefault="009E4BAA">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9E4BAA">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9E4BAA"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68ADF42E" w14:textId="1040AABD" w:rsidR="00FA7A4F" w:rsidRPr="00D37D01" w:rsidRDefault="009E4BAA"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747D85D7" w14:textId="1BE2DFAA" w:rsidR="00FA7A4F" w:rsidRPr="00D37D01" w:rsidRDefault="009E4BAA"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F4769">
              <w:rPr>
                <w:webHidden/>
                <w:sz w:val="17"/>
                <w:szCs w:val="17"/>
              </w:rPr>
              <w:t>82</w:t>
            </w:r>
            <w:r w:rsidR="00FA7A4F" w:rsidRPr="00D37D01">
              <w:rPr>
                <w:webHidden/>
                <w:sz w:val="17"/>
                <w:szCs w:val="17"/>
              </w:rPr>
              <w:fldChar w:fldCharType="end"/>
            </w:r>
          </w:hyperlink>
        </w:p>
        <w:p w14:paraId="0E846FFC" w14:textId="69AB4FC7" w:rsidR="00FA7A4F" w:rsidRPr="00D37D01" w:rsidRDefault="009E4BAA">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9E4BAA">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Pr>
          <w:lang w:val="sk-SK"/>
        </w:rPr>
        <w:lastRenderedPageBreak/>
        <w:t>1.</w:t>
      </w:r>
      <w:r>
        <w:rPr>
          <w:lang w:val="sk-SK"/>
        </w:rPr>
        <w:tab/>
        <w:t>Všeobecné informácie</w:t>
      </w:r>
      <w:bookmarkEnd w:id="1"/>
    </w:p>
    <w:p w14:paraId="58484455" w14:textId="2680354A" w:rsidR="00551D65" w:rsidRPr="00095609" w:rsidRDefault="00551D65" w:rsidP="00551D65">
      <w:pPr>
        <w:pStyle w:val="Nadpis2"/>
        <w:spacing w:line="480" w:lineRule="auto"/>
        <w:rPr>
          <w:b/>
          <w:lang w:val="sk-SK"/>
        </w:rPr>
      </w:pPr>
      <w:bookmarkStart w:id="5" w:name="_Toc458515636"/>
      <w:r w:rsidRPr="00095609">
        <w:rPr>
          <w:b/>
          <w:lang w:val="sk-SK"/>
        </w:rPr>
        <w:t>1.1</w:t>
      </w:r>
      <w:r w:rsidRPr="00095609">
        <w:rPr>
          <w:b/>
          <w:lang w:val="sk-SK"/>
        </w:rPr>
        <w:tab/>
        <w:t>Cieľ príručky</w:t>
      </w:r>
      <w:bookmarkEnd w:id="5"/>
    </w:p>
    <w:p w14:paraId="2A81CD13" w14:textId="60406A13" w:rsidR="000867AE" w:rsidRPr="00D608D6" w:rsidRDefault="000867AE" w:rsidP="008C2173">
      <w:pPr>
        <w:pStyle w:val="BodyText1"/>
        <w:jc w:val="both"/>
        <w:rPr>
          <w:lang w:val="sk-SK"/>
        </w:rPr>
      </w:pPr>
      <w:bookmarkStart w:id="6" w:name="_Toc417132717"/>
      <w:bookmarkEnd w:id="2"/>
      <w:bookmarkEnd w:id="3"/>
      <w:bookmarkEnd w:id="4"/>
      <w:bookmarkEnd w:id="6"/>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0F423E">
        <w:rPr>
          <w:b/>
          <w:lang w:val="sk-SK"/>
        </w:rPr>
        <w:t>1.2</w:t>
      </w:r>
      <w:r w:rsidRPr="000F423E">
        <w:rPr>
          <w:b/>
          <w:lang w:val="sk-SK"/>
        </w:rPr>
        <w:tab/>
      </w:r>
      <w:r w:rsidR="001918B9" w:rsidRPr="000F423E">
        <w:rPr>
          <w:b/>
          <w:lang w:val="sk-SK"/>
        </w:rPr>
        <w:t>Platnosť príručky</w:t>
      </w:r>
      <w:bookmarkEnd w:id="7"/>
      <w:bookmarkEnd w:id="8"/>
      <w:bookmarkEnd w:id="9"/>
      <w:bookmarkEnd w:id="10"/>
      <w:bookmarkEnd w:id="11"/>
      <w:bookmarkEnd w:id="12"/>
    </w:p>
    <w:p w14:paraId="15B0CB88" w14:textId="6CBA1ED5"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3.</w:t>
      </w:r>
      <w:r w:rsidR="004F5657">
        <w:rPr>
          <w:rFonts w:ascii="Arial" w:hAnsi="Arial" w:cs="Arial"/>
          <w:sz w:val="19"/>
          <w:szCs w:val="19"/>
          <w:lang w:val="sk-SK"/>
        </w:rPr>
        <w:t>1</w:t>
      </w:r>
      <w:r w:rsidR="00A7221C">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0F423E">
        <w:rPr>
          <w:b/>
          <w:lang w:val="sk-SK"/>
        </w:rPr>
        <w:t>1.3</w:t>
      </w:r>
      <w:r w:rsidRPr="000F423E">
        <w:rPr>
          <w:b/>
          <w:lang w:val="sk-SK"/>
        </w:rPr>
        <w:tab/>
      </w:r>
      <w:r w:rsidR="00496FE2" w:rsidRPr="000F423E">
        <w:rPr>
          <w:b/>
          <w:lang w:val="sk-SK"/>
        </w:rPr>
        <w:t>Definícia pojmov</w:t>
      </w:r>
      <w:bookmarkEnd w:id="13"/>
      <w:bookmarkEnd w:id="14"/>
      <w:bookmarkEnd w:id="15"/>
      <w:bookmarkEnd w:id="16"/>
      <w:bookmarkEnd w:id="17"/>
      <w:bookmarkEnd w:id="18"/>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0F423E">
        <w:rPr>
          <w:b/>
          <w:lang w:val="sk-SK"/>
        </w:rPr>
        <w:t>1.4</w:t>
      </w:r>
      <w:r w:rsidRPr="000F423E">
        <w:rPr>
          <w:b/>
          <w:lang w:val="sk-SK"/>
        </w:rPr>
        <w:tab/>
      </w:r>
      <w:r w:rsidR="001E7A3C" w:rsidRPr="000F423E">
        <w:rPr>
          <w:b/>
          <w:lang w:val="sk-SK"/>
        </w:rPr>
        <w:t>Použité skratky</w:t>
      </w:r>
      <w:bookmarkEnd w:id="31"/>
      <w:bookmarkEnd w:id="32"/>
      <w:bookmarkEnd w:id="33"/>
      <w:bookmarkEnd w:id="34"/>
      <w:bookmarkEnd w:id="35"/>
      <w:bookmarkEnd w:id="36"/>
      <w:bookmarkEnd w:id="37"/>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8"/>
      <w:bookmarkEnd w:id="39"/>
      <w:bookmarkEnd w:id="40"/>
      <w:bookmarkEnd w:id="41"/>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2"/>
      <w:bookmarkEnd w:id="53"/>
      <w:bookmarkEnd w:id="54"/>
      <w:bookmarkEnd w:id="55"/>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8"/>
      <w:r w:rsidR="002B3DE0" w:rsidRPr="00095609">
        <w:rPr>
          <w:i w:val="0"/>
          <w:lang w:val="sk-SK"/>
        </w:rPr>
        <w:t>príspevku</w:t>
      </w:r>
      <w:bookmarkEnd w:id="59"/>
      <w:bookmarkEnd w:id="60"/>
      <w:bookmarkEnd w:id="61"/>
      <w:bookmarkEnd w:id="62"/>
      <w:bookmarkEnd w:id="63"/>
      <w:bookmarkEnd w:id="64"/>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3E4A99">
        <w:rPr>
          <w:b/>
        </w:rPr>
        <w:lastRenderedPageBreak/>
        <w:t>2.1</w:t>
      </w:r>
      <w:r w:rsidR="007708E2">
        <w:rPr>
          <w:b/>
        </w:rPr>
        <w:tab/>
      </w:r>
      <w:r w:rsidR="00C85E20" w:rsidRPr="00201868">
        <w:rPr>
          <w:b/>
          <w:lang w:val="sk-SK"/>
        </w:rPr>
        <w:t>Oprávnenosť žiadateľa</w:t>
      </w:r>
      <w:bookmarkEnd w:id="65"/>
      <w:bookmarkEnd w:id="66"/>
      <w:bookmarkEnd w:id="67"/>
      <w:bookmarkEnd w:id="68"/>
      <w:bookmarkEnd w:id="69"/>
      <w:bookmarkEnd w:id="70"/>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095609">
        <w:rPr>
          <w:b/>
          <w:lang w:val="sk-SK"/>
        </w:rPr>
        <w:t>2.2</w:t>
      </w:r>
      <w:r w:rsidR="007708E2" w:rsidRPr="00095609">
        <w:rPr>
          <w:b/>
          <w:lang w:val="sk-SK"/>
        </w:rPr>
        <w:tab/>
      </w:r>
      <w:bookmarkStart w:id="78" w:name="_Toc417132485"/>
      <w:bookmarkStart w:id="79" w:name="_Toc417648882"/>
      <w:bookmarkStart w:id="80" w:name="_Toc440354974"/>
      <w:bookmarkStart w:id="81" w:name="_Toc440375305"/>
      <w:r w:rsidR="002B3DE0" w:rsidRPr="00095609">
        <w:rPr>
          <w:b/>
          <w:lang w:val="sk-SK"/>
        </w:rPr>
        <w:t>Oprávnenosť partnera</w:t>
      </w:r>
      <w:bookmarkEnd w:id="76"/>
      <w:bookmarkEnd w:id="77"/>
      <w:bookmarkEnd w:id="78"/>
      <w:bookmarkEnd w:id="79"/>
      <w:bookmarkEnd w:id="80"/>
      <w:bookmarkEnd w:id="81"/>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2"/>
      <w:bookmarkEnd w:id="83"/>
      <w:r w:rsidR="00402875" w:rsidRPr="00095609">
        <w:rPr>
          <w:b/>
          <w:lang w:val="sk-SK"/>
        </w:rPr>
        <w:t xml:space="preserve"> realizácie projektu</w:t>
      </w:r>
      <w:bookmarkEnd w:id="84"/>
      <w:bookmarkEnd w:id="85"/>
      <w:bookmarkEnd w:id="86"/>
      <w:bookmarkEnd w:id="87"/>
      <w:bookmarkEnd w:id="88"/>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9"/>
      <w:r w:rsidR="00387FBA" w:rsidRPr="00095609">
        <w:rPr>
          <w:b/>
          <w:lang w:val="sk-SK"/>
        </w:rPr>
        <w:t>projektu</w:t>
      </w:r>
      <w:bookmarkEnd w:id="90"/>
      <w:bookmarkEnd w:id="91"/>
      <w:bookmarkEnd w:id="92"/>
      <w:bookmarkEnd w:id="93"/>
      <w:bookmarkEnd w:id="94"/>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5"/>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8"/>
      <w:bookmarkEnd w:id="139"/>
      <w:bookmarkEnd w:id="140"/>
      <w:bookmarkEnd w:id="141"/>
      <w:bookmarkEnd w:id="142"/>
      <w:bookmarkEnd w:id="143"/>
      <w:bookmarkEnd w:id="144"/>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095609">
        <w:rPr>
          <w:b/>
          <w:lang w:val="sk-SK"/>
        </w:rPr>
        <w:t>2.7</w:t>
      </w:r>
      <w:r w:rsidRPr="00095609">
        <w:rPr>
          <w:b/>
          <w:lang w:val="sk-SK"/>
        </w:rPr>
        <w:tab/>
        <w:t>Kritériá pre výber projektov</w:t>
      </w:r>
      <w:bookmarkEnd w:id="152"/>
    </w:p>
    <w:p w14:paraId="677D3B54" w14:textId="478C8CAE" w:rsidR="00E40E44" w:rsidRPr="00095609"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9"/>
      <w:bookmarkEnd w:id="160"/>
    </w:p>
    <w:p w14:paraId="0FFFBA58" w14:textId="0C496DD4" w:rsidR="00AA0C4C" w:rsidRPr="001F1018"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F1018">
        <w:rPr>
          <w:b/>
          <w:lang w:val="sk-SK"/>
        </w:rPr>
        <w:t>2.8</w:t>
      </w:r>
      <w:r w:rsidR="007708E2">
        <w:rPr>
          <w:b/>
          <w:lang w:val="sk-SK"/>
        </w:rPr>
        <w:tab/>
      </w:r>
      <w:r w:rsidR="00E40E44" w:rsidRPr="001F1018">
        <w:rPr>
          <w:b/>
          <w:lang w:val="sk-SK"/>
        </w:rPr>
        <w:t>Spôsob financovania projektu</w:t>
      </w:r>
      <w:bookmarkEnd w:id="161"/>
      <w:bookmarkEnd w:id="162"/>
      <w:bookmarkEnd w:id="163"/>
      <w:bookmarkEnd w:id="164"/>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F1018">
        <w:rPr>
          <w:b/>
          <w:lang w:val="sk-SK"/>
        </w:rPr>
        <w:t>Splnenie podmienok ustanovených v osobitných predpisov</w:t>
      </w:r>
      <w:bookmarkEnd w:id="167"/>
      <w:bookmarkEnd w:id="168"/>
      <w:bookmarkEnd w:id="169"/>
      <w:bookmarkEnd w:id="170"/>
      <w:bookmarkEnd w:id="171"/>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172"/>
      <w:proofErr w:type="spellEnd"/>
    </w:p>
    <w:bookmarkEnd w:id="173"/>
    <w:bookmarkEnd w:id="174"/>
    <w:bookmarkEnd w:id="175"/>
    <w:bookmarkEnd w:id="176"/>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2"/>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FA7A4F">
        <w:rPr>
          <w:b/>
          <w:color w:val="3C8A2E" w:themeColor="accent5"/>
          <w:sz w:val="24"/>
          <w:szCs w:val="24"/>
          <w:lang w:val="sk-SK"/>
        </w:rPr>
        <w:t>2.10.1 Časová oprávnenosť realizácie projektu</w:t>
      </w:r>
      <w:bookmarkEnd w:id="380"/>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FA7A4F">
        <w:rPr>
          <w:b/>
          <w:color w:val="3C8A2E" w:themeColor="accent5"/>
          <w:sz w:val="24"/>
          <w:szCs w:val="24"/>
          <w:lang w:val="sk-SK"/>
        </w:rPr>
        <w:t>2.10.2 Oprávnenosť z hľadiska súladu s HP</w:t>
      </w:r>
      <w:bookmarkEnd w:id="383"/>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FA7A4F">
        <w:rPr>
          <w:b/>
          <w:color w:val="3C8A2E" w:themeColor="accent5"/>
          <w:sz w:val="24"/>
          <w:szCs w:val="24"/>
          <w:lang w:val="sk-SK"/>
        </w:rPr>
        <w:t>2.10.3 Maximálna a minimálna výška pomoci</w:t>
      </w:r>
      <w:bookmarkEnd w:id="386"/>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7"/>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90"/>
      <w:bookmarkEnd w:id="391"/>
      <w:bookmarkEnd w:id="392"/>
      <w:bookmarkEnd w:id="39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8"/>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6"/>
      <w:bookmarkEnd w:id="397"/>
      <w:bookmarkEnd w:id="398"/>
      <w:bookmarkEnd w:id="399"/>
      <w:bookmarkEnd w:id="400"/>
      <w:bookmarkEnd w:id="401"/>
      <w:bookmarkEnd w:id="40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9"/>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9"/>
      <w:bookmarkEnd w:id="410"/>
      <w:bookmarkEnd w:id="411"/>
      <w:bookmarkEnd w:id="412"/>
      <w:bookmarkEnd w:id="413"/>
      <w:bookmarkEnd w:id="414"/>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0"/>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 xml:space="preserve">Výpis z obchodného registra alebo iného relevantného registra, zakladacia </w:t>
            </w:r>
            <w:proofErr w:type="spellStart"/>
            <w:r w:rsidRPr="00984047">
              <w:rPr>
                <w:b/>
                <w:bCs/>
                <w:szCs w:val="19"/>
                <w:lang w:val="sk-SK"/>
              </w:rPr>
              <w:t>listina</w:t>
            </w:r>
            <w:r w:rsidRPr="00984047">
              <w:rPr>
                <w:bCs/>
                <w:szCs w:val="19"/>
                <w:lang w:val="sk-SK"/>
              </w:rPr>
              <w:t>V</w:t>
            </w:r>
            <w:proofErr w:type="spellEnd"/>
            <w:r w:rsidRPr="00984047">
              <w:rPr>
                <w:bCs/>
                <w:szCs w:val="19"/>
                <w:lang w:val="sk-SK"/>
              </w:rPr>
              <w:t>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5" w:name="_Toc458515681"/>
      <w:bookmarkStart w:id="416" w:name="_Toc410400267"/>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5"/>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8A0601">
        <w:rPr>
          <w:rFonts w:ascii="Arial" w:hAnsi="Arial" w:cs="Arial"/>
          <w:b/>
          <w:sz w:val="22"/>
          <w:szCs w:val="19"/>
          <w:lang w:val="sk-SK"/>
        </w:rPr>
        <w:t>Pokyny k vyplneniu rozpočtu projektu</w:t>
      </w:r>
      <w:bookmarkEnd w:id="417"/>
      <w:bookmarkEnd w:id="418"/>
      <w:bookmarkEnd w:id="419"/>
      <w:bookmarkEnd w:id="420"/>
      <w:r w:rsidR="008A0601">
        <w:rPr>
          <w:rStyle w:val="Odkaznapoznmkupodiarou"/>
          <w:rFonts w:cs="Arial"/>
          <w:b/>
          <w:szCs w:val="19"/>
          <w:lang w:val="sk-SK"/>
        </w:rPr>
        <w:footnoteReference w:id="21"/>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6"/>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7"/>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8"/>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1" w:name="_Toc458515682"/>
      <w:r w:rsidRPr="00095609">
        <w:rPr>
          <w:b/>
          <w:color w:val="3C8A2E" w:themeColor="accent5"/>
          <w:sz w:val="24"/>
          <w:szCs w:val="24"/>
          <w:lang w:val="sk-SK"/>
        </w:rPr>
        <w:t>3.2.1 Všeobecné ustanovenia k niektorým typom výdavkov</w:t>
      </w:r>
      <w:bookmarkEnd w:id="421"/>
    </w:p>
    <w:p w14:paraId="1A4CC1EB" w14:textId="21F81A4A" w:rsidR="00353358" w:rsidRPr="00551D65" w:rsidRDefault="00353358" w:rsidP="00551D65">
      <w:pPr>
        <w:pStyle w:val="BodyText1"/>
        <w:rPr>
          <w:b/>
        </w:rPr>
      </w:pPr>
      <w:proofErr w:type="spellStart"/>
      <w:r w:rsidRPr="00551D65">
        <w:rPr>
          <w:b/>
        </w:rPr>
        <w:t>Výdavky</w:t>
      </w:r>
      <w:proofErr w:type="spellEnd"/>
      <w:r w:rsidRPr="00551D65">
        <w:rPr>
          <w:b/>
        </w:rPr>
        <w:t xml:space="preserve"> </w:t>
      </w:r>
      <w:proofErr w:type="spellStart"/>
      <w:r w:rsidR="00693E25" w:rsidRPr="00551D65">
        <w:rPr>
          <w:b/>
        </w:rPr>
        <w:t>súvisiace</w:t>
      </w:r>
      <w:proofErr w:type="spellEnd"/>
      <w:r w:rsidR="00693E25" w:rsidRPr="00551D65">
        <w:rPr>
          <w:b/>
        </w:rPr>
        <w:t xml:space="preserve"> s </w:t>
      </w:r>
      <w:proofErr w:type="spellStart"/>
      <w:r w:rsidR="00693E25" w:rsidRPr="00551D65">
        <w:rPr>
          <w:b/>
        </w:rPr>
        <w:t>vypracovaním</w:t>
      </w:r>
      <w:proofErr w:type="spellEnd"/>
      <w:r w:rsidRPr="00551D65">
        <w:rPr>
          <w:b/>
        </w:rPr>
        <w:t xml:space="preserve"> </w:t>
      </w:r>
      <w:proofErr w:type="spellStart"/>
      <w:r w:rsidRPr="00551D65">
        <w:rPr>
          <w:b/>
        </w:rPr>
        <w:t>Žiadosti</w:t>
      </w:r>
      <w:proofErr w:type="spellEnd"/>
      <w:r w:rsidRPr="00551D65">
        <w:rPr>
          <w:b/>
        </w:rPr>
        <w:t xml:space="preserve"> o nenávratný </w:t>
      </w:r>
      <w:proofErr w:type="spellStart"/>
      <w:r w:rsidRPr="00551D65">
        <w:rPr>
          <w:b/>
        </w:rPr>
        <w:t>finančný</w:t>
      </w:r>
      <w:proofErr w:type="spellEnd"/>
      <w:r w:rsidRPr="00551D65">
        <w:rPr>
          <w:b/>
        </w:rPr>
        <w:t xml:space="preserve"> </w:t>
      </w:r>
      <w:proofErr w:type="spellStart"/>
      <w:r w:rsidRPr="00551D65">
        <w:rPr>
          <w:b/>
        </w:rPr>
        <w:t>príspevok</w:t>
      </w:r>
      <w:proofErr w:type="spellEnd"/>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proofErr w:type="spellStart"/>
      <w:r w:rsidRPr="00551D65">
        <w:rPr>
          <w:b/>
        </w:rPr>
        <w:t>Personálne</w:t>
      </w:r>
      <w:proofErr w:type="spellEnd"/>
      <w:r w:rsidRPr="00551D65">
        <w:rPr>
          <w:b/>
        </w:rPr>
        <w:t xml:space="preserve"> </w:t>
      </w:r>
      <w:proofErr w:type="spellStart"/>
      <w:r w:rsidRPr="00551D65">
        <w:rPr>
          <w:b/>
        </w:rPr>
        <w:t>výdavky</w:t>
      </w:r>
      <w:proofErr w:type="spellEnd"/>
      <w:r w:rsidRPr="00551D65">
        <w:rPr>
          <w:b/>
        </w:rPr>
        <w:t xml:space="preserve"> (</w:t>
      </w:r>
      <w:proofErr w:type="spellStart"/>
      <w:r w:rsidRPr="00551D65">
        <w:rPr>
          <w:b/>
        </w:rPr>
        <w:t>interné</w:t>
      </w:r>
      <w:proofErr w:type="spellEnd"/>
      <w:r w:rsidRPr="00551D65">
        <w:rPr>
          <w:b/>
        </w:rPr>
        <w:t>)</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1"/>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2"/>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3"/>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4"/>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5"/>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9"/>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0"/>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1"/>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2"/>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3"/>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4"/>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5"/>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6"/>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0"/>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1"/>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2"/>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2" w:name="_Ref457287479"/>
      <w:r w:rsidRPr="00984047">
        <w:rPr>
          <w:rStyle w:val="Odkaznapoznmkupodiarou"/>
          <w:rFonts w:cs="Arial"/>
          <w:b w:val="0"/>
          <w:color w:val="000000" w:themeColor="text1"/>
          <w:sz w:val="19"/>
          <w:szCs w:val="19"/>
          <w:lang w:val="sk-SK"/>
        </w:rPr>
        <w:footnoteReference w:id="53"/>
      </w:r>
      <w:bookmarkEnd w:id="422"/>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4"/>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5"/>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6"/>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7"/>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8"/>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9"/>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0"/>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1"/>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3"/>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4"/>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5"/>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6"/>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7"/>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8"/>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9"/>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0"/>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1"/>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2"/>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5"/>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6"/>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7"/>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8"/>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9"/>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0"/>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1"/>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2"/>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5"/>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9"/>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2"/>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3"/>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4"/>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5"/>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6"/>
      <w:bookmarkEnd w:id="424"/>
      <w:bookmarkEnd w:id="425"/>
      <w:bookmarkEnd w:id="426"/>
      <w:bookmarkEnd w:id="427"/>
      <w:bookmarkEnd w:id="428"/>
      <w:bookmarkEnd w:id="429"/>
    </w:p>
    <w:p w14:paraId="15B0CF44" w14:textId="69E4A21E"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Pr="005C4931">
        <w:rPr>
          <w:rFonts w:ascii="Arial" w:hAnsi="Arial" w:cs="Arial"/>
          <w:sz w:val="19"/>
          <w:szCs w:val="19"/>
          <w:lang w:val="sk-SK"/>
        </w:rPr>
        <w:t>Doručením ŽoNFP na RO sa začína konanie o ŽoNFP.</w:t>
      </w:r>
      <w:r w:rsidR="002953BF">
        <w:rPr>
          <w:rFonts w:ascii="Arial" w:hAnsi="Arial" w:cs="Arial"/>
          <w:sz w:val="19"/>
          <w:szCs w:val="19"/>
          <w:lang w:val="sk-SK"/>
        </w:rPr>
        <w:t xml:space="preserve"> </w:t>
      </w:r>
      <w:r w:rsidR="002953BF" w:rsidRPr="002953BF">
        <w:rPr>
          <w:rFonts w:ascii="Arial" w:hAnsi="Arial" w:cs="Arial"/>
          <w:sz w:val="19"/>
          <w:szCs w:val="19"/>
          <w:lang w:val="sk-SK"/>
        </w:rPr>
        <w:t>Žiadateľ je oprávnený v zmysle zákona č. 305/2013 Z. z. o elektronickej podobe výkonu pôsobnosti orgánov verejnej moci a o zmene a doplnení niektorých zákonov (zákon o e-</w:t>
      </w:r>
      <w:proofErr w:type="spellStart"/>
      <w:r w:rsidR="002953BF" w:rsidRPr="002953BF">
        <w:rPr>
          <w:rFonts w:ascii="Arial" w:hAnsi="Arial" w:cs="Arial"/>
          <w:sz w:val="19"/>
          <w:szCs w:val="19"/>
          <w:lang w:val="sk-SK"/>
        </w:rPr>
        <w:t>Governmente</w:t>
      </w:r>
      <w:proofErr w:type="spellEnd"/>
      <w:r w:rsidR="002953BF" w:rsidRPr="002953BF">
        <w:rPr>
          <w:rFonts w:ascii="Arial" w:hAnsi="Arial" w:cs="Arial"/>
          <w:sz w:val="19"/>
          <w:szCs w:val="19"/>
          <w:lang w:val="sk-SK"/>
        </w:rPr>
        <w:t xml:space="preserve">) predložiť ŽoNFP elektronicky. V prípade elektronického predloženia ŽoNFP musí žiadateľ ŽoNFP vrátane príloh odoslať prostredníctvom ITMS2014+ a následne vygenerovaný </w:t>
      </w:r>
      <w:proofErr w:type="spellStart"/>
      <w:r w:rsidR="002953BF" w:rsidRPr="002953BF">
        <w:rPr>
          <w:rFonts w:ascii="Arial" w:hAnsi="Arial" w:cs="Arial"/>
          <w:sz w:val="19"/>
          <w:szCs w:val="19"/>
          <w:lang w:val="sk-SK"/>
        </w:rPr>
        <w:t>pdf</w:t>
      </w:r>
      <w:proofErr w:type="spellEnd"/>
      <w:r w:rsidR="002953BF" w:rsidRPr="002953BF">
        <w:rPr>
          <w:rFonts w:ascii="Arial" w:hAnsi="Arial" w:cs="Arial"/>
          <w:sz w:val="19"/>
          <w:szCs w:val="19"/>
          <w:lang w:val="sk-SK"/>
        </w:rPr>
        <w:t xml:space="preserve"> súbor ŽoNFP uloží do verzie PDF/A-1a, autorizuje ho kvalifikovaným elektronickým podpisom s mandátnym certifikátom alebo kvalifikovanou elektronickou pečaťou a odošle do elektronickej schránky poskytovateľa.</w:t>
      </w:r>
      <w:r w:rsidR="002953BF" w:rsidRPr="002953BF">
        <w:rPr>
          <w:rFonts w:ascii="Arial" w:hAnsi="Arial" w:cs="Arial"/>
          <w:sz w:val="19"/>
          <w:szCs w:val="19"/>
          <w:vertAlign w:val="superscript"/>
          <w:lang w:val="sk-SK"/>
        </w:rPr>
        <w:footnoteReference w:id="96"/>
      </w:r>
      <w:r w:rsidR="006E6C72">
        <w:rPr>
          <w:rFonts w:ascii="Arial" w:hAnsi="Arial" w:cs="Arial"/>
          <w:sz w:val="19"/>
          <w:szCs w:val="19"/>
          <w:lang w:val="sk-SK"/>
        </w:rPr>
        <w:t xml:space="preserve"> </w:t>
      </w:r>
      <w:r w:rsidR="00FA5D5C">
        <w:rPr>
          <w:rFonts w:ascii="Arial" w:hAnsi="Arial" w:cs="Arial"/>
          <w:sz w:val="19"/>
          <w:szCs w:val="19"/>
          <w:lang w:val="sk-SK"/>
        </w:rPr>
        <w:t xml:space="preserve"> Takéto doručenie ŽoNFP sa považuje za písomné doručenie v zmysle podmienky doručenia ŽoNFP v určenej forme.</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lastRenderedPageBreak/>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w:t>
      </w:r>
      <w:proofErr w:type="spellStart"/>
      <w:r w:rsidRPr="00FA5D5C">
        <w:rPr>
          <w:rFonts w:ascii="Arial" w:hAnsi="Arial" w:cs="Arial"/>
          <w:sz w:val="19"/>
          <w:szCs w:val="19"/>
          <w:lang w:eastAsia="en-US"/>
        </w:rPr>
        <w:t>Governmente</w:t>
      </w:r>
      <w:proofErr w:type="spellEnd"/>
      <w:r w:rsidRPr="00FA5D5C">
        <w:rPr>
          <w:rFonts w:ascii="Arial" w:hAnsi="Arial" w:cs="Arial"/>
          <w:sz w:val="19"/>
          <w:szCs w:val="19"/>
          <w:lang w:eastAsia="en-US"/>
        </w:rPr>
        <w:t xml:space="preserv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7"/>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3E287D40"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9D3587">
        <w:rPr>
          <w:rFonts w:ascii="Arial" w:hAnsi="Arial" w:cs="Arial"/>
          <w:sz w:val="19"/>
          <w:szCs w:val="19"/>
          <w:lang w:val="sk-SK"/>
        </w:rPr>
        <w:t xml:space="preserve">V </w:t>
      </w:r>
      <w:r w:rsidR="009D3587" w:rsidRPr="009D3587">
        <w:rPr>
          <w:rFonts w:ascii="Arial" w:hAnsi="Arial" w:cs="Arial"/>
          <w:sz w:val="19"/>
          <w:szCs w:val="19"/>
          <w:lang w:val="sk-SK"/>
        </w:rPr>
        <w:t>prípade, že žiadateľ predkladá ŽoNFP bez príloh výlučne elektronicky</w:t>
      </w:r>
      <w:r w:rsidR="006E6C72">
        <w:rPr>
          <w:rFonts w:ascii="Arial" w:hAnsi="Arial" w:cs="Arial"/>
          <w:sz w:val="19"/>
          <w:szCs w:val="19"/>
          <w:lang w:val="sk-SK"/>
        </w:rPr>
        <w:t xml:space="preserve"> </w:t>
      </w:r>
      <w:r w:rsidR="006E6C72" w:rsidRPr="002953BF">
        <w:rPr>
          <w:rFonts w:ascii="Arial" w:hAnsi="Arial" w:cs="Arial"/>
          <w:sz w:val="19"/>
          <w:szCs w:val="19"/>
          <w:lang w:val="sk-SK"/>
        </w:rPr>
        <w:t>v zmysle zákona č. 305/2013 Z. z.</w:t>
      </w:r>
      <w:r w:rsidR="009D3587" w:rsidRPr="009D3587">
        <w:rPr>
          <w:rFonts w:ascii="Arial" w:hAnsi="Arial" w:cs="Arial"/>
          <w:sz w:val="19"/>
          <w:szCs w:val="19"/>
          <w:lang w:val="sk-SK"/>
        </w:rPr>
        <w:t>, je oprávnený</w:t>
      </w:r>
      <w:r w:rsidR="009D3587">
        <w:rPr>
          <w:rFonts w:ascii="Arial" w:hAnsi="Arial" w:cs="Arial"/>
          <w:sz w:val="19"/>
          <w:szCs w:val="19"/>
          <w:lang w:val="sk-SK"/>
        </w:rPr>
        <w:t xml:space="preserve"> doručiť vybrané prílohy ŽoNFP len </w:t>
      </w:r>
      <w:r w:rsidR="009D3587" w:rsidRPr="009D3587">
        <w:rPr>
          <w:rFonts w:ascii="Arial" w:hAnsi="Arial" w:cs="Arial"/>
          <w:sz w:val="19"/>
          <w:szCs w:val="19"/>
          <w:lang w:val="sk-SK"/>
        </w:rPr>
        <w:t>v listinnej podobe. V tomto prípade sa za dátum doručenia ŽoNFP bude považovať dátum, ktorý nastane neskôr; buď dátum doručenia ŽoNFP do elektronickej schránky RO</w:t>
      </w:r>
      <w:r w:rsidR="009D3587">
        <w:rPr>
          <w:rFonts w:ascii="Arial" w:hAnsi="Arial" w:cs="Arial"/>
          <w:sz w:val="19"/>
          <w:szCs w:val="19"/>
          <w:lang w:val="sk-SK"/>
        </w:rPr>
        <w:t xml:space="preserve"> pre OP EVS</w:t>
      </w:r>
      <w:r w:rsidR="009D3587" w:rsidRPr="009D3587">
        <w:rPr>
          <w:rFonts w:ascii="Arial" w:hAnsi="Arial" w:cs="Arial"/>
          <w:sz w:val="19"/>
          <w:szCs w:val="19"/>
          <w:lang w:val="sk-SK"/>
        </w:rPr>
        <w:t xml:space="preserve"> alebo dátum podania/odovzdania listinnej prílohy ŽoNFP v súlade s kapitolou 3.2.1.1., odsek 2 Systému riadenia EŠIF.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8"/>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50"/>
      <w:bookmarkEnd w:id="451"/>
      <w:bookmarkEnd w:id="452"/>
      <w:bookmarkEnd w:id="453"/>
      <w:bookmarkEnd w:id="454"/>
      <w:bookmarkEnd w:id="455"/>
      <w:bookmarkEnd w:id="456"/>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t>4.2</w:t>
      </w:r>
      <w:r w:rsidR="00400B1E">
        <w:rPr>
          <w:b/>
          <w:lang w:val="sk-SK"/>
        </w:rPr>
        <w:tab/>
      </w:r>
      <w:r w:rsidR="00F220F5" w:rsidRPr="00953D2E">
        <w:rPr>
          <w:b/>
          <w:lang w:val="sk-SK"/>
        </w:rPr>
        <w:t>Odborné hodnotenie ŽoNFP</w:t>
      </w:r>
      <w:bookmarkEnd w:id="457"/>
      <w:bookmarkEnd w:id="458"/>
      <w:bookmarkEnd w:id="459"/>
      <w:bookmarkEnd w:id="460"/>
      <w:bookmarkEnd w:id="461"/>
      <w:bookmarkEnd w:id="462"/>
      <w:bookmarkEnd w:id="463"/>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základe skutočností zistených v rámci konania o ŽoNFP,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lastRenderedPageBreak/>
        <w:t>Informácia o horizontálnych princípoch</w:t>
      </w:r>
      <w:bookmarkEnd w:id="499"/>
      <w:bookmarkEnd w:id="500"/>
      <w:bookmarkEnd w:id="501"/>
      <w:bookmarkEnd w:id="502"/>
      <w:bookmarkEnd w:id="503"/>
      <w:bookmarkEnd w:id="504"/>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9"/>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w:t>
      </w:r>
      <w:proofErr w:type="spellStart"/>
      <w:r w:rsidRPr="00313210">
        <w:rPr>
          <w:rFonts w:cstheme="minorHAnsi"/>
          <w:color w:val="000000"/>
          <w:sz w:val="19"/>
          <w:szCs w:val="19"/>
          <w:lang w:val="sk-SK"/>
        </w:rPr>
        <w:t>eGovernmentu</w:t>
      </w:r>
      <w:proofErr w:type="spellEnd"/>
      <w:r w:rsidRPr="00313210">
        <w:rPr>
          <w:rFonts w:cstheme="minorHAnsi"/>
          <w:color w:val="000000"/>
          <w:sz w:val="19"/>
          <w:szCs w:val="19"/>
          <w:lang w:val="sk-SK"/>
        </w:rPr>
        <w:t xml:space="preserve">, zlepšenia dostupnosti dát verejnej správy a ďalších nových riešení IKT budú aplikované </w:t>
      </w:r>
      <w:proofErr w:type="spellStart"/>
      <w:r w:rsidRPr="00313210">
        <w:rPr>
          <w:rFonts w:cstheme="minorHAnsi"/>
          <w:color w:val="000000"/>
          <w:sz w:val="19"/>
          <w:szCs w:val="19"/>
          <w:lang w:val="sk-SK"/>
        </w:rPr>
        <w:t>blind</w:t>
      </w:r>
      <w:proofErr w:type="spellEnd"/>
      <w:r w:rsidRPr="00313210">
        <w:rPr>
          <w:rFonts w:cstheme="minorHAnsi"/>
          <w:color w:val="000000"/>
          <w:sz w:val="19"/>
          <w:szCs w:val="19"/>
          <w:lang w:val="sk-SK"/>
        </w:rPr>
        <w:t xml:space="preserve"> </w:t>
      </w:r>
      <w:proofErr w:type="spellStart"/>
      <w:r w:rsidRPr="00313210">
        <w:rPr>
          <w:rFonts w:cstheme="minorHAnsi"/>
          <w:color w:val="000000"/>
          <w:sz w:val="19"/>
          <w:szCs w:val="19"/>
          <w:lang w:val="sk-SK"/>
        </w:rPr>
        <w:t>friendly</w:t>
      </w:r>
      <w:proofErr w:type="spellEnd"/>
      <w:r w:rsidRPr="00313210">
        <w:rPr>
          <w:rFonts w:cstheme="minorHAnsi"/>
          <w:color w:val="000000"/>
          <w:sz w:val="19"/>
          <w:szCs w:val="19"/>
          <w:lang w:val="sk-SK"/>
        </w:rPr>
        <w:t xml:space="preserve">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lastRenderedPageBreak/>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lastRenderedPageBreak/>
        <w:t>Prílohy</w:t>
      </w:r>
      <w:bookmarkEnd w:id="552"/>
      <w:bookmarkEnd w:id="553"/>
      <w:bookmarkEnd w:id="554"/>
      <w:bookmarkEnd w:id="555"/>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91DAA" w14:textId="77777777" w:rsidR="009E4BAA" w:rsidRDefault="009E4BAA">
      <w:r>
        <w:separator/>
      </w:r>
    </w:p>
    <w:p w14:paraId="7B83EE47" w14:textId="77777777" w:rsidR="009E4BAA" w:rsidRDefault="009E4BAA"/>
  </w:endnote>
  <w:endnote w:type="continuationSeparator" w:id="0">
    <w:p w14:paraId="664A5459" w14:textId="77777777" w:rsidR="009E4BAA" w:rsidRDefault="009E4BAA">
      <w:r>
        <w:continuationSeparator/>
      </w:r>
    </w:p>
    <w:p w14:paraId="4C92C22F" w14:textId="77777777" w:rsidR="009E4BAA" w:rsidRDefault="009E4BAA"/>
  </w:endnote>
  <w:endnote w:type="continuationNotice" w:id="1">
    <w:p w14:paraId="1A4BD8FA" w14:textId="77777777" w:rsidR="009E4BAA" w:rsidRDefault="009E4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8A14B3" w:rsidRPr="004B1810" w:rsidRDefault="008A14B3" w:rsidP="00646F25">
        <w:pPr>
          <w:tabs>
            <w:tab w:val="left" w:pos="709"/>
            <w:tab w:val="center" w:pos="4703"/>
            <w:tab w:val="right" w:pos="9406"/>
          </w:tabs>
          <w:jc w:val="center"/>
          <w:rPr>
            <w:b/>
            <w:sz w:val="16"/>
            <w:lang w:val="sk-SK"/>
          </w:rPr>
        </w:pPr>
      </w:p>
      <w:p w14:paraId="15B0D02E" w14:textId="22B85AA1" w:rsidR="008A14B3" w:rsidRDefault="008A14B3">
        <w:pPr>
          <w:pStyle w:val="Pta"/>
          <w:jc w:val="right"/>
        </w:pPr>
        <w:r>
          <w:fldChar w:fldCharType="begin"/>
        </w:r>
        <w:r>
          <w:instrText xml:space="preserve"> PAGE   \* MERGEFORMAT </w:instrText>
        </w:r>
        <w:r>
          <w:fldChar w:fldCharType="separate"/>
        </w:r>
        <w:r w:rsidR="005B44A1">
          <w:rPr>
            <w:noProof/>
          </w:rPr>
          <w:t>38</w:t>
        </w:r>
        <w:r>
          <w:rPr>
            <w:noProof/>
          </w:rPr>
          <w:fldChar w:fldCharType="end"/>
        </w:r>
      </w:p>
    </w:sdtContent>
  </w:sdt>
  <w:p w14:paraId="15B0D02F" w14:textId="77777777" w:rsidR="008A14B3" w:rsidRPr="003530AF" w:rsidRDefault="008A14B3"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588B8" w14:textId="77777777" w:rsidR="009E4BAA" w:rsidRDefault="009E4BAA">
      <w:r>
        <w:separator/>
      </w:r>
    </w:p>
    <w:p w14:paraId="1FCAA029" w14:textId="77777777" w:rsidR="009E4BAA" w:rsidRDefault="009E4BAA"/>
  </w:footnote>
  <w:footnote w:type="continuationSeparator" w:id="0">
    <w:p w14:paraId="2DDBC7EC" w14:textId="77777777" w:rsidR="009E4BAA" w:rsidRDefault="009E4BAA">
      <w:r>
        <w:continuationSeparator/>
      </w:r>
    </w:p>
    <w:p w14:paraId="63917CE1" w14:textId="77777777" w:rsidR="009E4BAA" w:rsidRDefault="009E4BAA"/>
  </w:footnote>
  <w:footnote w:type="continuationNotice" w:id="1">
    <w:p w14:paraId="7E402999" w14:textId="77777777" w:rsidR="009E4BAA" w:rsidRDefault="009E4BAA"/>
  </w:footnote>
  <w:footnote w:id="2">
    <w:p w14:paraId="15B0D038" w14:textId="77777777" w:rsidR="008A14B3" w:rsidRPr="007F7349" w:rsidRDefault="008A14B3"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8A14B3" w:rsidRPr="007F7349" w:rsidRDefault="008A14B3"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8A14B3" w:rsidRPr="007708E2" w:rsidRDefault="008A14B3"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8A14B3" w:rsidRPr="00A01473" w:rsidRDefault="008A14B3"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8A14B3" w:rsidRPr="0000364A" w:rsidRDefault="008A14B3"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8A14B3" w:rsidRPr="00A01473" w:rsidRDefault="008A14B3"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8A14B3" w:rsidRPr="00095609" w:rsidRDefault="008A14B3" w:rsidP="0043167F">
      <w:pPr>
        <w:pStyle w:val="Textpoznmkypodiarou"/>
        <w:spacing w:after="0"/>
        <w:jc w:val="both"/>
        <w:rPr>
          <w:color w:val="000000"/>
          <w:lang w:val="sk-SK"/>
        </w:rPr>
      </w:pPr>
    </w:p>
  </w:footnote>
  <w:footnote w:id="8">
    <w:p w14:paraId="15B0D03C" w14:textId="77777777" w:rsidR="008A14B3" w:rsidRPr="00FC5FD7" w:rsidRDefault="008A14B3"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8A14B3" w:rsidRPr="006E4CC8" w:rsidRDefault="008A14B3"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8A14B3" w:rsidRDefault="008A14B3"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8A14B3" w:rsidRPr="00A37BAC" w:rsidRDefault="008A14B3" w:rsidP="00C22E41">
      <w:pPr>
        <w:pStyle w:val="Textpoznmkypodiarou"/>
        <w:tabs>
          <w:tab w:val="left" w:pos="284"/>
        </w:tabs>
        <w:spacing w:after="0" w:line="240" w:lineRule="auto"/>
        <w:ind w:left="284" w:hanging="284"/>
        <w:jc w:val="both"/>
        <w:rPr>
          <w:lang w:val="sk-SK"/>
        </w:rPr>
      </w:pPr>
    </w:p>
  </w:footnote>
  <w:footnote w:id="10">
    <w:p w14:paraId="15B0D042" w14:textId="77777777" w:rsidR="008A14B3" w:rsidRPr="007F7349" w:rsidRDefault="008A14B3"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8A14B3" w:rsidRPr="00CB17BC" w:rsidRDefault="008A14B3"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8A14B3" w:rsidRPr="00FC5FD7" w:rsidRDefault="008A14B3"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8A14B3" w:rsidRPr="002B3DE0" w:rsidRDefault="008A14B3"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8A14B3" w:rsidRPr="0050335B" w:rsidRDefault="008A14B3" w:rsidP="002B3DE0">
      <w:pPr>
        <w:pStyle w:val="Textpoznmkypodiarou"/>
        <w:rPr>
          <w:sz w:val="20"/>
          <w:lang w:val="sk-SK" w:eastAsia="cs-CZ"/>
        </w:rPr>
      </w:pPr>
    </w:p>
  </w:footnote>
  <w:footnote w:id="14">
    <w:p w14:paraId="15B0D046" w14:textId="3F4F0233" w:rsidR="008A14B3" w:rsidRPr="005E07D4" w:rsidRDefault="008A14B3"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5B7230" w:rsidRPr="005E07D4" w:rsidRDefault="005B723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8A14B3" w:rsidRPr="0048632E" w:rsidRDefault="008A14B3"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8A14B3" w:rsidRPr="0048632E" w:rsidRDefault="008A14B3"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8A14B3" w:rsidRPr="0048632E" w:rsidRDefault="008A14B3" w:rsidP="00023EDC">
      <w:pPr>
        <w:pStyle w:val="Bulletslevel1"/>
        <w:numPr>
          <w:ilvl w:val="0"/>
          <w:numId w:val="0"/>
        </w:numPr>
        <w:spacing w:before="0" w:line="288" w:lineRule="auto"/>
        <w:jc w:val="both"/>
        <w:rPr>
          <w:sz w:val="16"/>
          <w:szCs w:val="16"/>
          <w:lang w:val="sk-SK"/>
        </w:rPr>
      </w:pPr>
    </w:p>
    <w:p w14:paraId="3B3D7A52" w14:textId="77777777" w:rsidR="008A14B3" w:rsidRPr="0048632E" w:rsidRDefault="008A14B3" w:rsidP="00023EDC">
      <w:pPr>
        <w:pStyle w:val="Textpoznmkypodiarou"/>
        <w:rPr>
          <w:lang w:val="sk-SK"/>
        </w:rPr>
      </w:pPr>
    </w:p>
  </w:footnote>
  <w:footnote w:id="17">
    <w:p w14:paraId="15B0D04A" w14:textId="77777777" w:rsidR="008A14B3" w:rsidRPr="00FF5CA0" w:rsidRDefault="008A14B3"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15B0D04B" w14:textId="20F94405" w:rsidR="008A14B3" w:rsidRPr="00FF5CA0" w:rsidRDefault="008A14B3"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41644CFB" w14:textId="4B8AF86A" w:rsidR="008A14B3" w:rsidRPr="00616190" w:rsidRDefault="008A14B3"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0">
    <w:p w14:paraId="714B5412" w14:textId="74EDE451" w:rsidR="008A14B3" w:rsidRPr="00FF5CA0" w:rsidRDefault="008A14B3"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1">
    <w:p w14:paraId="1BC2FF64" w14:textId="188120F0" w:rsidR="008A14B3" w:rsidRPr="00941FF6" w:rsidRDefault="008A14B3"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2">
    <w:p w14:paraId="36CC39FA" w14:textId="20E0638D" w:rsidR="008A14B3" w:rsidRPr="00F02256" w:rsidRDefault="008A14B3"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3">
    <w:p w14:paraId="15B0D04D" w14:textId="7AA90D24" w:rsidR="008A14B3" w:rsidRPr="00FC5FD7" w:rsidRDefault="008A14B3"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4">
    <w:p w14:paraId="15B0D04E" w14:textId="1D4B3AFD" w:rsidR="008A14B3" w:rsidRPr="00FC5FD7" w:rsidRDefault="008A14B3"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5">
    <w:p w14:paraId="15B0D04F" w14:textId="77777777" w:rsidR="008A14B3" w:rsidRPr="00FC5FD7" w:rsidRDefault="008A14B3"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6">
    <w:p w14:paraId="4E5C156F" w14:textId="1D3E1890" w:rsidR="008A14B3" w:rsidRPr="005A22A5" w:rsidRDefault="008A14B3"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7">
    <w:p w14:paraId="4DF7F929" w14:textId="3314F99B" w:rsidR="008A14B3" w:rsidRPr="00FD5306" w:rsidRDefault="008A14B3"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8">
    <w:p w14:paraId="1BA037B4" w14:textId="7465A23B" w:rsidR="008A14B3" w:rsidRPr="0064130C" w:rsidRDefault="008A14B3"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9">
    <w:p w14:paraId="15B0D051" w14:textId="24E9087C" w:rsidR="008A14B3" w:rsidRPr="00781464" w:rsidRDefault="008A14B3"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0">
    <w:p w14:paraId="15B0D053" w14:textId="4BD47FC9" w:rsidR="008A14B3" w:rsidRPr="00217126" w:rsidRDefault="008A14B3"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1">
    <w:p w14:paraId="6ED52614" w14:textId="718C20BD" w:rsidR="008A14B3" w:rsidRPr="00A11896" w:rsidRDefault="008A14B3"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2">
    <w:p w14:paraId="15B0D054" w14:textId="63DA5B0B" w:rsidR="008A14B3" w:rsidRPr="00781464" w:rsidRDefault="008A14B3"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3">
    <w:p w14:paraId="15B0D057" w14:textId="77777777" w:rsidR="008A14B3" w:rsidRPr="00781464" w:rsidRDefault="008A14B3"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4">
    <w:p w14:paraId="1DF73A09" w14:textId="7CFBD96B" w:rsidR="008A14B3" w:rsidRPr="00965E93" w:rsidRDefault="008A14B3"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5">
    <w:p w14:paraId="15B0D058" w14:textId="3520F057" w:rsidR="008A14B3" w:rsidRPr="00781464" w:rsidRDefault="008A14B3"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6">
    <w:p w14:paraId="1104FAE7" w14:textId="5D595C64" w:rsidR="008A14B3" w:rsidRPr="006B39C5" w:rsidRDefault="008A14B3"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7">
    <w:p w14:paraId="6F252EC1" w14:textId="562578A6" w:rsidR="008A14B3" w:rsidRPr="006B39C5" w:rsidRDefault="008A14B3"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8">
    <w:p w14:paraId="61370CB0" w14:textId="25370A4A" w:rsidR="008A14B3" w:rsidRPr="00373D64" w:rsidRDefault="008A14B3"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9">
    <w:p w14:paraId="720D17A6" w14:textId="7292667F" w:rsidR="008A14B3" w:rsidRPr="003E064C" w:rsidRDefault="008A14B3"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8A14B3" w:rsidRPr="00095609" w:rsidRDefault="008A14B3" w:rsidP="00095609">
      <w:pPr>
        <w:pStyle w:val="Textpoznmkypodiarou"/>
        <w:spacing w:after="0"/>
        <w:jc w:val="both"/>
        <w:rPr>
          <w:lang w:val="sk-SK"/>
        </w:rPr>
      </w:pPr>
    </w:p>
  </w:footnote>
  <w:footnote w:id="40">
    <w:p w14:paraId="15B0D059" w14:textId="77777777" w:rsidR="008A14B3" w:rsidRPr="00781464" w:rsidRDefault="008A14B3"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1">
    <w:p w14:paraId="11DF192B" w14:textId="4BA7ECC3" w:rsidR="008A14B3" w:rsidRPr="00FA4BEA" w:rsidRDefault="008A14B3"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2">
    <w:p w14:paraId="15B0D05A" w14:textId="7947318F" w:rsidR="008A14B3" w:rsidRPr="00781464" w:rsidRDefault="008A14B3"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3">
    <w:p w14:paraId="5F465AFE" w14:textId="77777777" w:rsidR="008A14B3" w:rsidRPr="000906F9" w:rsidRDefault="008A14B3"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4">
    <w:p w14:paraId="7B1FDF60" w14:textId="6901DE14" w:rsidR="008A14B3" w:rsidRPr="009E43CF" w:rsidRDefault="008A14B3"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5">
    <w:p w14:paraId="392A5875" w14:textId="0224B09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6828B4BE" w14:textId="0DA23FB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13F3712B" w14:textId="6F4A16B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8">
    <w:p w14:paraId="1E686EDE" w14:textId="337846B9"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79AAA795" w14:textId="580F03A9" w:rsidR="008A14B3" w:rsidRPr="001277DD" w:rsidRDefault="008A14B3"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0">
    <w:p w14:paraId="087549A4" w14:textId="77777777" w:rsidR="008A14B3" w:rsidRPr="00B842F0" w:rsidRDefault="008A14B3"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8A14B3" w:rsidRPr="00B842F0" w:rsidRDefault="008A14B3"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1">
    <w:p w14:paraId="31260C87" w14:textId="0DD21C91" w:rsidR="008A14B3" w:rsidRPr="00781464" w:rsidRDefault="008A14B3"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2">
    <w:p w14:paraId="00622873" w14:textId="7F0D9A81" w:rsidR="008A14B3" w:rsidRPr="00E313A0" w:rsidRDefault="008A14B3"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3">
    <w:p w14:paraId="40D95AE2" w14:textId="4584AF9D" w:rsidR="008A14B3" w:rsidRPr="00E313A0" w:rsidRDefault="008A14B3"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4">
    <w:p w14:paraId="6617070E" w14:textId="77777777" w:rsidR="008A14B3" w:rsidRPr="000906F9" w:rsidRDefault="008A14B3"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5">
    <w:p w14:paraId="1C7694DB" w14:textId="7336DB3B" w:rsidR="008A14B3" w:rsidRPr="000906F9" w:rsidRDefault="008A14B3"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6">
    <w:p w14:paraId="291DBE95" w14:textId="77777777" w:rsidR="008A14B3" w:rsidRPr="00FC5FD7" w:rsidRDefault="008A14B3"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7">
    <w:p w14:paraId="31437D07" w14:textId="77777777" w:rsidR="008A14B3" w:rsidRPr="006A1470" w:rsidRDefault="008A14B3"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8">
    <w:p w14:paraId="15B0D05F" w14:textId="003D1A60" w:rsidR="008A14B3" w:rsidRPr="00FC5FD7" w:rsidRDefault="008A14B3"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9">
    <w:p w14:paraId="05C7BE49" w14:textId="77777777" w:rsidR="008A14B3" w:rsidRPr="00B17F6F" w:rsidRDefault="008A14B3"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8A14B3" w:rsidRPr="00B17F6F" w:rsidRDefault="008A14B3"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8A14B3" w:rsidRPr="00781464" w:rsidRDefault="008A14B3" w:rsidP="00A571FE">
      <w:pPr>
        <w:pStyle w:val="Textpoznmkypodiarou"/>
        <w:spacing w:after="0"/>
        <w:jc w:val="both"/>
        <w:rPr>
          <w:lang w:val="sk-SK"/>
        </w:rPr>
      </w:pPr>
      <w:r w:rsidRPr="00B17F6F">
        <w:rPr>
          <w:lang w:val="sk-SK"/>
        </w:rPr>
        <w:t>oprávnené výdavky.</w:t>
      </w:r>
    </w:p>
  </w:footnote>
  <w:footnote w:id="60">
    <w:p w14:paraId="4E764AFB" w14:textId="77777777" w:rsidR="008A14B3" w:rsidRPr="00781464" w:rsidRDefault="008A14B3"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1">
    <w:p w14:paraId="15B0D066" w14:textId="2C05B0B8" w:rsidR="008A14B3" w:rsidRPr="001A480A" w:rsidRDefault="008A14B3"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2">
    <w:p w14:paraId="15B0D067" w14:textId="77777777" w:rsidR="008A14B3" w:rsidRPr="00B05B2F" w:rsidRDefault="008A14B3"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8A14B3" w:rsidRPr="00781464" w:rsidRDefault="008A14B3" w:rsidP="00380BFB">
      <w:pPr>
        <w:pStyle w:val="Textpoznmkypodiarou"/>
        <w:spacing w:after="0"/>
        <w:rPr>
          <w:lang w:val="sk-SK"/>
        </w:rPr>
      </w:pPr>
      <w:r w:rsidRPr="00B05B2F">
        <w:rPr>
          <w:lang w:val="sk-SK"/>
        </w:rPr>
        <w:t>potrebné dodržať preukázateľnosť vykonaných aktivít.</w:t>
      </w:r>
    </w:p>
  </w:footnote>
  <w:footnote w:id="63">
    <w:p w14:paraId="06E2ED90" w14:textId="43297A1D" w:rsidR="008A14B3" w:rsidRPr="004D6B4F" w:rsidRDefault="008A14B3"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4">
    <w:p w14:paraId="19B9D426" w14:textId="27258718" w:rsidR="008A14B3" w:rsidRPr="00781464" w:rsidRDefault="008A14B3"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5">
    <w:p w14:paraId="0817A4A1" w14:textId="1A855362" w:rsidR="008A14B3" w:rsidRPr="003429D2" w:rsidRDefault="008A14B3"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6">
    <w:p w14:paraId="15B0D06C" w14:textId="4DF46636" w:rsidR="008A14B3" w:rsidRPr="00781464" w:rsidRDefault="008A14B3"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7">
    <w:p w14:paraId="5383D546" w14:textId="42359601" w:rsidR="008A14B3" w:rsidRPr="0038758F" w:rsidRDefault="008A14B3"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68">
    <w:p w14:paraId="639E05D2" w14:textId="4F73C708" w:rsidR="008A14B3" w:rsidRPr="003429D2" w:rsidRDefault="008A14B3"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69">
    <w:p w14:paraId="475D37DC" w14:textId="3369C9B7" w:rsidR="008A14B3" w:rsidRPr="00461B6C" w:rsidRDefault="008A14B3"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0">
    <w:p w14:paraId="15B0D06D" w14:textId="241E334B" w:rsidR="008A14B3" w:rsidRPr="00781464" w:rsidRDefault="008A14B3"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1">
    <w:p w14:paraId="555C10EE" w14:textId="3E1D0518" w:rsidR="008A14B3" w:rsidRPr="00CA3187" w:rsidRDefault="008A14B3"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2">
    <w:p w14:paraId="15B0D06E" w14:textId="1432DF3D" w:rsidR="008A14B3" w:rsidRPr="00781464" w:rsidRDefault="008A14B3"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3">
    <w:p w14:paraId="2B276AB5" w14:textId="397ACCD9" w:rsidR="008A14B3" w:rsidRPr="00781464" w:rsidRDefault="008A14B3"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4">
    <w:p w14:paraId="755F241A" w14:textId="46ADDA99" w:rsidR="008A14B3" w:rsidRPr="008148BC" w:rsidRDefault="008A14B3"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5">
    <w:p w14:paraId="352BBF2C" w14:textId="0CC73BB3" w:rsidR="008A14B3" w:rsidRPr="004721E4" w:rsidRDefault="008A14B3"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6">
    <w:p w14:paraId="506C2239" w14:textId="5249F07B" w:rsidR="008A14B3" w:rsidRPr="00575B29" w:rsidRDefault="008A14B3"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7">
    <w:p w14:paraId="79FE0875" w14:textId="799B9032" w:rsidR="008A14B3" w:rsidRPr="00022FA0" w:rsidRDefault="008A14B3"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8">
    <w:p w14:paraId="577635DC" w14:textId="77777777" w:rsidR="008A14B3" w:rsidRPr="00781464" w:rsidRDefault="008A14B3"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9">
    <w:p w14:paraId="6CFD1AA0" w14:textId="77777777" w:rsidR="008A14B3" w:rsidRPr="00781464" w:rsidRDefault="008A14B3"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0">
    <w:p w14:paraId="44F366EF" w14:textId="77777777" w:rsidR="008A14B3" w:rsidRDefault="008A14B3"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1">
    <w:p w14:paraId="4A03CEAC" w14:textId="371180BE" w:rsidR="008A14B3" w:rsidRPr="00575B29" w:rsidRDefault="008A14B3"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2">
    <w:p w14:paraId="15B0D07C" w14:textId="0E8FE813" w:rsidR="008A14B3" w:rsidRPr="00781464" w:rsidRDefault="008A14B3"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3">
    <w:p w14:paraId="1306BB0F" w14:textId="60C18774" w:rsidR="008A14B3" w:rsidRPr="00CE0C11" w:rsidRDefault="008A14B3"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4">
    <w:p w14:paraId="76D67EC7" w14:textId="6F6AA112" w:rsidR="008A14B3" w:rsidRPr="00781464" w:rsidRDefault="008A14B3"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5">
    <w:p w14:paraId="225B6A27" w14:textId="77777777" w:rsidR="008A14B3" w:rsidRPr="00781464" w:rsidRDefault="008A14B3"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6">
    <w:p w14:paraId="15B0D088" w14:textId="77777777" w:rsidR="008A14B3" w:rsidRPr="000906F9" w:rsidRDefault="008A14B3"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7">
    <w:p w14:paraId="3416CD36" w14:textId="77777777" w:rsidR="008A14B3" w:rsidRPr="00B17F6F" w:rsidRDefault="008A14B3"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8A14B3" w:rsidRPr="00B17F6F" w:rsidRDefault="008A14B3"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8A14B3" w:rsidRPr="00781464" w:rsidRDefault="008A14B3" w:rsidP="007F5D12">
      <w:pPr>
        <w:pStyle w:val="Textpoznmkypodiarou"/>
        <w:spacing w:after="0"/>
        <w:jc w:val="both"/>
        <w:rPr>
          <w:lang w:val="sk-SK"/>
        </w:rPr>
      </w:pPr>
      <w:r w:rsidRPr="00B17F6F">
        <w:rPr>
          <w:lang w:val="sk-SK"/>
        </w:rPr>
        <w:t>oprávnené výdavky.</w:t>
      </w:r>
    </w:p>
  </w:footnote>
  <w:footnote w:id="88">
    <w:p w14:paraId="260E978A" w14:textId="75F238CE" w:rsidR="008A14B3" w:rsidRPr="008D099D" w:rsidRDefault="008A14B3"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9">
    <w:p w14:paraId="15B0D08D" w14:textId="77777777" w:rsidR="008A14B3" w:rsidRPr="00F30188" w:rsidRDefault="008A14B3"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0">
    <w:p w14:paraId="15B0D090" w14:textId="40BA5B11" w:rsidR="008A14B3" w:rsidRPr="00F13B43" w:rsidRDefault="008A14B3"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1">
    <w:p w14:paraId="4421A3B9" w14:textId="496A552C" w:rsidR="008A14B3" w:rsidRPr="00A03585" w:rsidRDefault="008A14B3"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2">
    <w:p w14:paraId="15B0D093" w14:textId="35E8D998" w:rsidR="008A14B3" w:rsidRPr="00545058" w:rsidRDefault="008A14B3"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3">
    <w:p w14:paraId="15B0D094" w14:textId="77777777" w:rsidR="008A14B3" w:rsidRPr="007F13B7" w:rsidRDefault="008A14B3"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4">
    <w:p w14:paraId="7D61FA3E" w14:textId="4226FD2F" w:rsidR="008A14B3" w:rsidRPr="00040949" w:rsidRDefault="008A14B3">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5">
    <w:p w14:paraId="15B0D095" w14:textId="77777777" w:rsidR="008A14B3" w:rsidRPr="00DE6A57" w:rsidRDefault="008A14B3"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6">
    <w:p w14:paraId="43FF3811" w14:textId="77777777" w:rsidR="002953BF" w:rsidRPr="006E6C72" w:rsidRDefault="002953BF" w:rsidP="002953BF">
      <w:pPr>
        <w:jc w:val="both"/>
        <w:rPr>
          <w:sz w:val="16"/>
          <w:szCs w:val="20"/>
          <w:lang w:val="sk-SK"/>
        </w:rPr>
      </w:pPr>
      <w:r w:rsidRPr="006E6C72">
        <w:rPr>
          <w:sz w:val="16"/>
          <w:lang w:val="sk-SK"/>
        </w:rPr>
        <w:footnoteRef/>
      </w:r>
      <w:r w:rsidRPr="006E6C72">
        <w:rPr>
          <w:sz w:val="16"/>
          <w:szCs w:val="20"/>
          <w:lang w:val="sk-SK"/>
        </w:rPr>
        <w:t xml:space="preserve"> RO pre OP EVS v dostatočnom časovom predstihu zverejní špecifikáciu adresy elektronickej schránky Poskytovateľa pre zabezpečenie procesu prijímania ŽoNFP v elektronickej forme na webovom svojom sídle </w:t>
      </w:r>
      <w:hyperlink r:id="rId4" w:history="1">
        <w:r w:rsidRPr="006E6C72">
          <w:rPr>
            <w:sz w:val="16"/>
            <w:lang w:val="sk-SK"/>
          </w:rPr>
          <w:t>http://www.opevs.eu/</w:t>
        </w:r>
      </w:hyperlink>
      <w:r w:rsidRPr="006E6C72">
        <w:rPr>
          <w:sz w:val="16"/>
          <w:szCs w:val="20"/>
          <w:lang w:val="sk-SK"/>
        </w:rPr>
        <w:t xml:space="preserve"> , prípadne špecifikáciu adresy elektronickej schránky formou zverejnenia informácie</w:t>
      </w:r>
      <w:r w:rsidRPr="00220B1C">
        <w:rPr>
          <w:rFonts w:ascii="Times New Roman" w:hAnsi="Times New Roman" w:cs="Times New Roman"/>
          <w:sz w:val="20"/>
          <w:szCs w:val="20"/>
        </w:rPr>
        <w:t xml:space="preserve"> </w:t>
      </w:r>
      <w:r w:rsidRPr="006E6C72">
        <w:rPr>
          <w:sz w:val="16"/>
          <w:szCs w:val="20"/>
          <w:lang w:val="sk-SK"/>
        </w:rPr>
        <w:t xml:space="preserve">o zmene formálnych náležitostí výzvy na webovom sídle poskytovateľa </w:t>
      </w:r>
      <w:hyperlink r:id="rId5" w:history="1">
        <w:r w:rsidRPr="006E6C72">
          <w:rPr>
            <w:sz w:val="16"/>
            <w:lang w:val="sk-SK"/>
          </w:rPr>
          <w:t>http://www.opevs.eu/</w:t>
        </w:r>
      </w:hyperlink>
      <w:r w:rsidRPr="006E6C72">
        <w:rPr>
          <w:sz w:val="16"/>
          <w:szCs w:val="20"/>
          <w:lang w:val="sk-SK"/>
        </w:rPr>
        <w:t xml:space="preserve"> na základe § 17, odsek 7 zákona o príspevku z EŠIF (bez potreby predĺženia termínu na predkladanie ŽoNFP).</w:t>
      </w:r>
    </w:p>
  </w:footnote>
  <w:footnote w:id="97">
    <w:p w14:paraId="15B0D096" w14:textId="77777777" w:rsidR="008A14B3" w:rsidRPr="001E46F8" w:rsidRDefault="008A14B3"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8">
    <w:p w14:paraId="64C5AC75" w14:textId="62AEDD79" w:rsidR="008A14B3" w:rsidRPr="00C931D2" w:rsidRDefault="008A14B3"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9">
    <w:p w14:paraId="32B0AA38" w14:textId="77777777" w:rsidR="008A14B3" w:rsidRPr="00251941" w:rsidRDefault="008A14B3"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6"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7" w:history="1">
        <w:r w:rsidRPr="00251941">
          <w:rPr>
            <w:rStyle w:val="Hypertextovprepojenie"/>
            <w:sz w:val="16"/>
            <w:szCs w:val="16"/>
            <w:lang w:val="sk-SK"/>
          </w:rPr>
          <w:t>http://www.gender.gov.sk/</w:t>
        </w:r>
      </w:hyperlink>
    </w:p>
    <w:p w14:paraId="3E7EFD69" w14:textId="77777777" w:rsidR="008A14B3" w:rsidRDefault="008A14B3" w:rsidP="003950CB">
      <w:pPr>
        <w:pStyle w:val="Textpoznmkypodiarou"/>
        <w:rPr>
          <w:lang w:val="sk-SK"/>
        </w:rPr>
      </w:pPr>
    </w:p>
    <w:p w14:paraId="28CC8188" w14:textId="77777777" w:rsidR="008A14B3" w:rsidRPr="003F5F8A" w:rsidRDefault="008A14B3"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8A14B3" w:rsidRPr="00624DC2" w:rsidRDefault="008A14B3" w:rsidP="002B3DE0">
    <w:pPr>
      <w:pStyle w:val="Hlavika"/>
      <w:tabs>
        <w:tab w:val="clear" w:pos="4703"/>
        <w:tab w:val="clear" w:pos="9406"/>
        <w:tab w:val="left" w:pos="1763"/>
      </w:tabs>
      <w:rPr>
        <w:lang w:val="en-GB"/>
      </w:rPr>
    </w:pPr>
    <w:r>
      <w:rPr>
        <w:lang w:val="en-GB"/>
      </w:rPr>
      <w:tab/>
    </w:r>
  </w:p>
  <w:p w14:paraId="15B0D031" w14:textId="77777777" w:rsidR="008A14B3" w:rsidRDefault="008A14B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8"/>
  </w:num>
  <w:num w:numId="3">
    <w:abstractNumId w:val="35"/>
  </w:num>
  <w:num w:numId="4">
    <w:abstractNumId w:val="3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8"/>
  </w:num>
  <w:num w:numId="8">
    <w:abstractNumId w:val="15"/>
  </w:num>
  <w:num w:numId="9">
    <w:abstractNumId w:val="47"/>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6"/>
  </w:num>
  <w:num w:numId="20">
    <w:abstractNumId w:val="29"/>
  </w:num>
  <w:num w:numId="21">
    <w:abstractNumId w:val="0"/>
  </w:num>
  <w:num w:numId="22">
    <w:abstractNumId w:val="37"/>
  </w:num>
  <w:num w:numId="23">
    <w:abstractNumId w:val="9"/>
  </w:num>
  <w:num w:numId="24">
    <w:abstractNumId w:val="45"/>
  </w:num>
  <w:num w:numId="25">
    <w:abstractNumId w:val="39"/>
  </w:num>
  <w:num w:numId="26">
    <w:abstractNumId w:val="42"/>
  </w:num>
  <w:num w:numId="27">
    <w:abstractNumId w:val="4"/>
  </w:num>
  <w:num w:numId="28">
    <w:abstractNumId w:val="12"/>
  </w:num>
  <w:num w:numId="29">
    <w:abstractNumId w:val="51"/>
  </w:num>
  <w:num w:numId="30">
    <w:abstractNumId w:val="14"/>
  </w:num>
  <w:num w:numId="31">
    <w:abstractNumId w:val="49"/>
  </w:num>
  <w:num w:numId="32">
    <w:abstractNumId w:val="40"/>
  </w:num>
  <w:num w:numId="33">
    <w:abstractNumId w:val="18"/>
  </w:num>
  <w:num w:numId="34">
    <w:abstractNumId w:val="2"/>
  </w:num>
  <w:num w:numId="35">
    <w:abstractNumId w:val="32"/>
  </w:num>
  <w:num w:numId="36">
    <w:abstractNumId w:val="17"/>
  </w:num>
  <w:num w:numId="37">
    <w:abstractNumId w:val="34"/>
  </w:num>
  <w:num w:numId="38">
    <w:abstractNumId w:val="50"/>
  </w:num>
  <w:num w:numId="39">
    <w:abstractNumId w:val="19"/>
  </w:num>
  <w:num w:numId="40">
    <w:abstractNumId w:val="30"/>
  </w:num>
  <w:num w:numId="41">
    <w:abstractNumId w:val="21"/>
  </w:num>
  <w:num w:numId="42">
    <w:abstractNumId w:val="43"/>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1"/>
  </w:num>
  <w:num w:numId="51">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C6"/>
    <w:rsid w:val="005B589B"/>
    <w:rsid w:val="005B60D7"/>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17AB2"/>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401"/>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www.gender.gov.sk/"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hpur.vlada.gov.sk/domov/" TargetMode="External"/><Relationship Id="rId5" Type="http://schemas.openxmlformats.org/officeDocument/2006/relationships/hyperlink" Target="http://www.opevs.eu/" TargetMode="External"/><Relationship Id="rId4"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89DFD-7B9C-4582-AB2F-490B0C370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85</Pages>
  <Words>33839</Words>
  <Characters>192883</Characters>
  <Application>Microsoft Office Word</Application>
  <DocSecurity>0</DocSecurity>
  <Lines>1607</Lines>
  <Paragraphs>452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53</cp:revision>
  <cp:lastPrinted>2017-01-17T14:22:00Z</cp:lastPrinted>
  <dcterms:created xsi:type="dcterms:W3CDTF">2017-02-17T08:06:00Z</dcterms:created>
  <dcterms:modified xsi:type="dcterms:W3CDTF">2017-05-11T15:31:00Z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